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</w:rPr>
        <w:t>Lærermaterial</w:t>
      </w:r>
      <w:r>
        <w:rPr>
          <w:rStyle w:val="normaltextrun"/>
          <w:rFonts w:ascii="Calibri" w:hAnsi="Calibri" w:cs="Segoe UI"/>
          <w:b/>
          <w:bCs/>
          <w:sz w:val="28"/>
          <w:szCs w:val="28"/>
        </w:rPr>
        <w:t>e AT 7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Introduktion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Vedrørende problemformuleringen og synopsen – til inspiration: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Man kan evt.: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vise gode eksempler på AT-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problemformuleringer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lægge op til, at de enkelte gruppemedlemmer hver især fremlægge dele af synopsen, men med krav om, at alle hæfter for hele synopsen – og kan besvare uddybende spørgsmål fra lærerne i forbindelse med fremlæggelsen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 xml:space="preserve">Om </w:t>
      </w:r>
      <w:proofErr w:type="gramStart"/>
      <w:r>
        <w:rPr>
          <w:rStyle w:val="normaltextrun"/>
          <w:rFonts w:ascii="Calibri" w:hAnsi="Calibri" w:cs="Segoe UI"/>
          <w:b/>
          <w:bCs/>
          <w:sz w:val="22"/>
          <w:szCs w:val="22"/>
        </w:rPr>
        <w:t>vejledningen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Eleverne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fra tidligere forløb har efterlyst større fokus på vejledning i den mundtlige fremlæggelse. Her kan med fordel inddrage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4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  <w:shd w:val="clear" w:color="auto" w:fill="FFFF00"/>
          </w:rPr>
          <w:t>gode råd til den mundtlige fremlæggelse i AT</w:t>
        </w:r>
      </w:hyperlink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samt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5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  <w:shd w:val="clear" w:color="auto" w:fill="FFFF00"/>
          </w:rPr>
          <w:t>eksempler på gode AT-fremlæggelser</w:t>
        </w:r>
      </w:hyperlink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 xml:space="preserve">i vejledningen til den mundtlige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fremlæggelse.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proofErr w:type="gramEnd"/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Opsamling og evaluering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Der er afsat ca. 6 moduler til fremlæggelse og evaluering. Alle elever deltager ikke nødvendigvis i alle fremlæggelser. Fremlæggelsen kan planlægges, så forskellige grupper giver fokuseret respons på andres oplæg. Elevresponsen bør suppleres med lærernes evaluering af både den mundtlige del og synopsen.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Evalueringen bør ud over de AT-faglige mål for AT-7 omfatte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hele den tredelte fremlæggelse.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Lidt inspiration: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Hvad er vigtigt i arbejdet med synopsen i forhold til den mundtlige formidling?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Hvad er hensigtsmæssigt at have med i synopsen?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Hvad bør ”gemmes” til den mundtlige del?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Hvordan fungerede problemformuleringen som udgangspunkt for et flerfagligt arbejde med sagen?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Blev de AT-faglige mål opfyldt?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Hvad skal I være opmærksomme på til AT-eksamen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hyperlink r:id="rId6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Huskeliste til vurdering af AT-eksamen.doc</w:t>
        </w:r>
      </w:hyperlink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kan bruges som udgangspunkt for responsen.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Huskeliste til planlægningen af AT-7</w:t>
      </w:r>
      <w:r>
        <w:rPr>
          <w:rStyle w:val="apple-converted-space"/>
          <w:rFonts w:ascii="Calibri" w:hAnsi="Calibri" w:cs="Segoe UI"/>
          <w:b/>
          <w:bCs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Elevforudsætninger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Hvad har eleverne lært i AT-6?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Hvordan introduceres eleverne til: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Formål og mål for AT-7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Fonts w:ascii="Segoe UI" w:hAnsi="Segoe UI" w:cs="Segoe UI"/>
          <w:sz w:val="12"/>
          <w:szCs w:val="12"/>
        </w:rPr>
        <w:fldChar w:fldCharType="begin"/>
      </w:r>
      <w:r>
        <w:rPr>
          <w:rFonts w:ascii="Segoe UI" w:hAnsi="Segoe UI" w:cs="Segoe UI"/>
          <w:sz w:val="12"/>
          <w:szCs w:val="12"/>
        </w:rPr>
        <w:instrText xml:space="preserve"> HYPERLINK "http://skriftlighed.fr-gym.dk/studieforb/Studieforberedende_opgaver/Synopsismodel_3g.html"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>VGTs</w:t>
      </w:r>
      <w:proofErr w:type="spellEnd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>synopsismodel</w:t>
      </w:r>
      <w:proofErr w:type="spellEnd"/>
      <w:r>
        <w:rPr>
          <w:rStyle w:val="normaltextrun"/>
          <w:rFonts w:ascii="Calibri" w:hAnsi="Calibri" w:cs="Segoe UI"/>
          <w:color w:val="0563C1"/>
          <w:sz w:val="22"/>
          <w:szCs w:val="22"/>
          <w:u w:val="single"/>
        </w:rPr>
        <w:t xml:space="preserve"> for 3.g</w:t>
      </w:r>
      <w:r>
        <w:rPr>
          <w:rFonts w:ascii="Segoe UI" w:hAnsi="Segoe UI" w:cs="Segoe UI"/>
          <w:sz w:val="12"/>
          <w:szCs w:val="12"/>
        </w:rPr>
        <w:fldChar w:fldCharType="end"/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Krav til aflevering af udkast til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7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problemformuleringen</w:t>
        </w:r>
      </w:hyperlink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og AT-synopsen samt eventuelt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hyperlink r:id="rId8" w:history="1">
        <w:r>
          <w:rPr>
            <w:rStyle w:val="normaltextrun"/>
            <w:rFonts w:ascii="Calibri" w:hAnsi="Calibri" w:cs="Segoe UI"/>
            <w:color w:val="0563C1"/>
            <w:sz w:val="22"/>
            <w:szCs w:val="22"/>
            <w:u w:val="single"/>
          </w:rPr>
          <w:t>Talepapiret</w:t>
        </w:r>
      </w:hyperlink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Med fordel kan læreren vise 1 eller 2 af de 2 YouTube-film, der viser den mundtlige præsentation ved en AT-eksamen. Videoen kan bruges til som udgangspunkt for en diskussion af, hvad der virker,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og hvad der ikke virker.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- Organisering og forventninger til det selvstændige arbejde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Det faglige stof fra fagene til emnet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Planlægning af </w:t>
      </w:r>
      <w:proofErr w:type="gramStart"/>
      <w:r>
        <w:rPr>
          <w:rStyle w:val="normaltextrun"/>
          <w:rFonts w:ascii="Calibri" w:hAnsi="Calibri" w:cs="Segoe UI"/>
          <w:i/>
          <w:iCs/>
          <w:sz w:val="22"/>
          <w:szCs w:val="22"/>
        </w:rPr>
        <w:t>rammerne</w:t>
      </w:r>
      <w:r>
        <w:rPr>
          <w:rStyle w:val="apple-converted-space"/>
          <w:rFonts w:ascii="Calibri" w:hAnsi="Calibri" w:cs="Segoe UI"/>
          <w:i/>
          <w:iCs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 xml:space="preserve"> Tidsforbrug til introduktionen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Tidsplan for introduktion, projektarbejde, fremlæggelse og evaluering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Planlægning af deadlines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lastRenderedPageBreak/>
        <w:t>- Gruppedannelser eller individuelt arbejde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Fordeling af lektioner til de enkelte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lærere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og skemalægning i klassens AT-7-lektioner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>- AT-7 er tilrettelagt så eleverne arbejder med synopsen mandag-torsdag i uge "1" og fremlægger synopsen i uge "2", hvilket giver læreren mulighed for at læse synopsen igennem inden.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Evaluering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Hvilke fokuspunkter i evalueringen?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Hvordan evalueres gruppernes synopser?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Hvordan evalueres den mundtlige fremlæggelse?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D1DB5" w:rsidRDefault="000D1DB5" w:rsidP="000D1D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i/>
          <w:iCs/>
          <w:sz w:val="22"/>
          <w:szCs w:val="22"/>
        </w:rPr>
        <w:t>Studierapporten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Hvem laver undervisningsbeskrivelsen i</w:t>
      </w:r>
      <w:r>
        <w:rPr>
          <w:rStyle w:val="apple-converted-space"/>
          <w:rFonts w:ascii="Calibri" w:hAnsi="Calibri" w:cs="Segoe U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Lectio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?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- Hvem sætter tid af til, at eleverne udfylder studierapporten</w:t>
      </w:r>
      <w:r>
        <w:rPr>
          <w:rStyle w:val="scx263852117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D44939" w:rsidRPr="000D1DB5" w:rsidRDefault="00D44939">
      <w:pPr>
        <w:rPr>
          <w:sz w:val="20"/>
        </w:rPr>
      </w:pPr>
    </w:p>
    <w:sectPr w:rsidR="00D44939" w:rsidRPr="000D1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5"/>
    <w:rsid w:val="000D1DB5"/>
    <w:rsid w:val="00D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B31D5-174E-4222-9A94-2C8B2B91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D1DB5"/>
  </w:style>
  <w:style w:type="character" w:customStyle="1" w:styleId="eop">
    <w:name w:val="eop"/>
    <w:basedOn w:val="Standardskrifttypeiafsnit"/>
    <w:rsid w:val="000D1DB5"/>
  </w:style>
  <w:style w:type="character" w:customStyle="1" w:styleId="scx263852117">
    <w:name w:val="scx263852117"/>
    <w:basedOn w:val="Standardskrifttypeiafsnit"/>
    <w:rsid w:val="000D1DB5"/>
  </w:style>
  <w:style w:type="character" w:customStyle="1" w:styleId="apple-converted-space">
    <w:name w:val="apple-converted-space"/>
    <w:basedOn w:val="Standardskrifttypeiafsnit"/>
    <w:rsid w:val="000D1DB5"/>
  </w:style>
  <w:style w:type="character" w:customStyle="1" w:styleId="spellingerror">
    <w:name w:val="spellingerror"/>
    <w:basedOn w:val="Standardskrifttypeiafsnit"/>
    <w:rsid w:val="000D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riftlighed.fr-gym.dk/studieforb/Studieforberedende_opgaver/AT-5_talepapi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riftlighed.fr-gym.dk/struktur/Struktureret_skrivning/Problem-_og_opgaveformuler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riftlighed.fr-gym.dk/studieforb/Studieforberedende_opgaver/AT-7_til_lrerne_files/Huskeliste%20til%20vurdering%20af%20AT-eksamen-3.doc" TargetMode="External"/><Relationship Id="rId5" Type="http://schemas.openxmlformats.org/officeDocument/2006/relationships/hyperlink" Target="http://skriftlighed.fr-gym.dk/studieforb/Studieforberedende_opgaver/AT-eksamen_vide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riftlighed.fr-gym.dk/studieforb/Studieforberedende_opgaver/AT-5_gode_rad_mundtlig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Sig Leergaard</dc:creator>
  <cp:keywords/>
  <dc:description/>
  <cp:lastModifiedBy>Dorte Sig Leergaard</cp:lastModifiedBy>
  <cp:revision>1</cp:revision>
  <dcterms:created xsi:type="dcterms:W3CDTF">2014-11-19T10:13:00Z</dcterms:created>
  <dcterms:modified xsi:type="dcterms:W3CDTF">2014-11-19T10:13:00Z</dcterms:modified>
</cp:coreProperties>
</file>